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Toc499228463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6"/>
          <w:szCs w:val="36"/>
        </w:rPr>
        <w:t>：</w:t>
      </w:r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bCs/>
          <w:sz w:val="36"/>
          <w:szCs w:val="36"/>
        </w:rPr>
      </w:pPr>
      <w:bookmarkStart w:id="1" w:name="_GoBack"/>
      <w:r>
        <w:rPr>
          <w:rFonts w:hint="default" w:ascii="Times New Roman" w:hAnsi="Times New Roman" w:eastAsia="黑体" w:cs="Times New Roman"/>
          <w:sz w:val="36"/>
          <w:szCs w:val="36"/>
        </w:rPr>
        <w:t>江西省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生态文明研究与促进会</w:t>
      </w:r>
      <w:r>
        <w:rPr>
          <w:rFonts w:hint="default" w:ascii="Times New Roman" w:hAnsi="Times New Roman" w:eastAsia="黑体" w:cs="Times New Roman"/>
          <w:sz w:val="36"/>
          <w:szCs w:val="36"/>
        </w:rPr>
        <w:t>会费标准及管理办法</w:t>
      </w:r>
      <w:bookmarkEnd w:id="1"/>
      <w:bookmarkEnd w:id="0"/>
    </w:p>
    <w:p>
      <w:pPr>
        <w:spacing w:afterLines="50"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afterLines="5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根据江西省民政厅、财政厅关于贯彻执行民政部、财政部调整社会团体会费政策有关文件的通知精神和我会章程规定，结合我会实际情况，特制定本办法。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收费对象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本会团体会员和个人会员。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收费标准</w:t>
      </w:r>
    </w:p>
    <w:p>
      <w:pPr>
        <w:pStyle w:val="4"/>
        <w:numPr>
          <w:ilvl w:val="0"/>
          <w:numId w:val="2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团体会员：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一般会员单位：1000元/年；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理事会员单位：3000元/年；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常务理事会员单位：10000元/年；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副会长单位：50000元/年。</w:t>
      </w:r>
    </w:p>
    <w:p>
      <w:pPr>
        <w:pStyle w:val="4"/>
        <w:numPr>
          <w:ilvl w:val="0"/>
          <w:numId w:val="2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个人会员：每人每年30元。</w:t>
      </w:r>
    </w:p>
    <w:p>
      <w:pPr>
        <w:pStyle w:val="4"/>
        <w:numPr>
          <w:ilvl w:val="0"/>
          <w:numId w:val="2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欢迎会员自愿缴纳超过以上标准数额的会费，超额缴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纳会费的会员在会员代表大会、理事会、常务理事会等通报表扬。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收费办法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会费由学会秘书处统一收取，原则上按年交纳，每年的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12月份以前交纳当年的会费，也可一次性交纳一届（5年）的会费。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会费使用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会费应用于本会章程规定的使用范围，主要包括：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学术交流和科普活动；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友好交往与合作；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科技考察；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资料编印；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表彰奖励；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科研项目服务支出；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网站的经费补贴；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召开的有关会议；</w:t>
      </w:r>
    </w:p>
    <w:p>
      <w:pPr>
        <w:pStyle w:val="4"/>
        <w:numPr>
          <w:ilvl w:val="0"/>
          <w:numId w:val="3"/>
        </w:numPr>
        <w:spacing w:line="560" w:lineRule="exact"/>
        <w:ind w:left="998" w:hanging="357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秘书处的办公经费及人员费。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管理与监督</w:t>
      </w:r>
    </w:p>
    <w:p>
      <w:pPr>
        <w:spacing w:line="560" w:lineRule="exact"/>
        <w:ind w:left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会费的管理应遵守国家有关法律、法规，符合本会的财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务管理制度，并符合以下规定：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1.本会的会费，任何单位和个人不得侵占、私分和挪用，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不得用于学会章程规定范围以外的活动，不得在会员中分配；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w w:val="9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2.每年向理事会（或常务理事会）报告一次年度会费收支情况，每届届满时，应向全省会员代表大会提交财务报告，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报告会费收支情况，接受会员和有关部门的检查监督和审计。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B27D9"/>
    <w:multiLevelType w:val="multilevel"/>
    <w:tmpl w:val="22BB27D9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C31CE1"/>
    <w:multiLevelType w:val="multilevel"/>
    <w:tmpl w:val="3DC31CE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C10ECC"/>
    <w:multiLevelType w:val="multilevel"/>
    <w:tmpl w:val="3FC10ECC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N2Y0ZmRjNTg4YjI2MDI4NTIzYzYzZDg4Zjc3YmIifQ=="/>
  </w:docVars>
  <w:rsids>
    <w:rsidRoot w:val="00000000"/>
    <w:rsid w:val="116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2024-04-24T08:27:55Z</dcterms:created>
  <dc:creator>Lenovo</dc:creator>
  <cp:lastModifiedBy>水利学会</cp:lastModifiedBy>
  <dcterms:modified xsi:type="dcterms:W3CDTF">2024-04-24T08:28:05Z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8F92F9AB6C974BDA9B156FC6885B7146_12</vt:lpwstr>
  </property>
</Properties>
</file>